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994C" w14:textId="502FF97B" w:rsidR="00011AF2" w:rsidRPr="00512C5F" w:rsidRDefault="00011AF2" w:rsidP="00A80174">
      <w:pPr>
        <w:widowControl/>
        <w:shd w:val="clear" w:color="auto" w:fill="FFFFFF"/>
        <w:spacing w:afterAutospacing="1"/>
        <w:jc w:val="center"/>
        <w:outlineLvl w:val="1"/>
        <w:rPr>
          <w:rFonts w:ascii="標楷體" w:eastAsia="標楷體" w:hAnsi="標楷體" w:cs="Arial"/>
          <w:kern w:val="0"/>
          <w:sz w:val="28"/>
          <w:szCs w:val="24"/>
        </w:rPr>
      </w:pPr>
      <w:r w:rsidRPr="00512C5F">
        <w:rPr>
          <w:rFonts w:ascii="標楷體" w:eastAsia="標楷體" w:hAnsi="標楷體" w:cs="Arial"/>
          <w:b/>
          <w:bCs/>
          <w:kern w:val="0"/>
          <w:sz w:val="28"/>
          <w:szCs w:val="24"/>
        </w:rPr>
        <w:t>資訊安全政策</w:t>
      </w:r>
      <w:r w:rsidR="00EC38EA" w:rsidRPr="00512C5F">
        <w:rPr>
          <w:rFonts w:ascii="標楷體" w:eastAsia="標楷體" w:hAnsi="標楷體" w:cs="Arial" w:hint="eastAsia"/>
          <w:b/>
          <w:bCs/>
          <w:kern w:val="0"/>
          <w:sz w:val="28"/>
          <w:szCs w:val="24"/>
        </w:rPr>
        <w:t>宣言</w:t>
      </w:r>
    </w:p>
    <w:p w14:paraId="252CDC44" w14:textId="7B5232F5" w:rsidR="00011AF2" w:rsidRPr="00512C5F" w:rsidRDefault="00011AF2" w:rsidP="00754F22">
      <w:pPr>
        <w:widowControl/>
        <w:shd w:val="clear" w:color="auto" w:fill="FFFFFF"/>
        <w:spacing w:beforeAutospacing="1" w:afterAutospacing="1"/>
        <w:jc w:val="both"/>
        <w:rPr>
          <w:rFonts w:ascii="標楷體" w:eastAsia="標楷體" w:hAnsi="標楷體" w:cs="Times New Roman"/>
          <w:kern w:val="0"/>
          <w:sz w:val="28"/>
          <w:szCs w:val="24"/>
          <w:bdr w:val="none" w:sz="0" w:space="0" w:color="auto" w:frame="1"/>
        </w:rPr>
      </w:pP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資訊安全與機密資訊保護是</w:t>
      </w:r>
      <w:proofErr w:type="gramStart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對客戶、股東及夥伴的承諾。</w:t>
      </w:r>
      <w:proofErr w:type="gramStart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為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</w:rPr>
        <w:t>強化資通安全防護及管理機制，設立資訊安全長</w:t>
      </w:r>
      <w:r w:rsidRPr="00512C5F">
        <w:rPr>
          <w:rFonts w:ascii="標楷體" w:eastAsia="標楷體" w:hAnsi="標楷體" w:cs="Calibri" w:hint="eastAsia"/>
          <w:kern w:val="0"/>
          <w:sz w:val="28"/>
          <w:szCs w:val="24"/>
        </w:rPr>
        <w:t>（</w:t>
      </w:r>
      <w:r w:rsidRPr="00512C5F">
        <w:rPr>
          <w:rFonts w:ascii="標楷體" w:eastAsia="標楷體" w:hAnsi="標楷體" w:cs="Calibri"/>
          <w:kern w:val="0"/>
          <w:sz w:val="28"/>
          <w:szCs w:val="24"/>
        </w:rPr>
        <w:t>CISO</w:t>
      </w:r>
      <w:r w:rsidRPr="00512C5F">
        <w:rPr>
          <w:rFonts w:ascii="標楷體" w:eastAsia="標楷體" w:hAnsi="標楷體" w:cs="Calibri" w:hint="eastAsia"/>
          <w:kern w:val="0"/>
          <w:sz w:val="28"/>
          <w:szCs w:val="24"/>
        </w:rPr>
        <w:t>）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</w:rPr>
        <w:t>與資訊安全專責組織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，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</w:rPr>
        <w:t>配置專業之人力與資源，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明訂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</w:rPr>
        <w:t>資訊安全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政策、管理程序及規範，發表《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u w:val="single"/>
          <w:bdr w:val="none" w:sz="0" w:space="0" w:color="auto" w:frame="1"/>
        </w:rPr>
        <w:t>資訊安全宣言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》，宣示捍衛資訊安全的決心與推動資訊安全的目標</w:t>
      </w:r>
      <w:proofErr w:type="gramStart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—</w:t>
      </w:r>
      <w:proofErr w:type="gramEnd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維護</w:t>
      </w:r>
      <w:proofErr w:type="gramStart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="004921D6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的市場競爭力及保障客戶與合作夥伴利益。</w:t>
      </w:r>
    </w:p>
    <w:p w14:paraId="0E595041" w14:textId="13687FF8" w:rsidR="00011AF2" w:rsidRPr="00512C5F" w:rsidRDefault="00011AF2" w:rsidP="00011AF2">
      <w:pPr>
        <w:widowControl/>
        <w:shd w:val="clear" w:color="auto" w:fill="FFFFFF"/>
        <w:spacing w:beforeAutospacing="1" w:afterAutospacing="1"/>
        <w:rPr>
          <w:rFonts w:ascii="標楷體" w:eastAsia="標楷體" w:hAnsi="標楷體" w:cs="Arial"/>
          <w:kern w:val="0"/>
          <w:sz w:val="28"/>
          <w:szCs w:val="24"/>
        </w:rPr>
      </w:pPr>
    </w:p>
    <w:p w14:paraId="2B0202F8" w14:textId="4042F247" w:rsidR="00011AF2" w:rsidRPr="00512C5F" w:rsidRDefault="004F4A80" w:rsidP="00011AF2">
      <w:pPr>
        <w:widowControl/>
        <w:shd w:val="clear" w:color="auto" w:fill="FFFFFF"/>
        <w:spacing w:beforeAutospacing="1" w:afterAutospacing="1"/>
        <w:rPr>
          <w:rStyle w:val="a8"/>
          <w:rFonts w:ascii="標楷體" w:eastAsia="標楷體" w:hAnsi="標楷體" w:cs="Arial"/>
          <w:sz w:val="28"/>
          <w:szCs w:val="24"/>
          <w:shd w:val="clear" w:color="auto" w:fill="FFFFFF"/>
        </w:rPr>
      </w:pPr>
      <w:r w:rsidRPr="00512C5F">
        <w:rPr>
          <w:rStyle w:val="a8"/>
          <w:rFonts w:ascii="標楷體" w:eastAsia="標楷體" w:hAnsi="標楷體" w:cs="Arial"/>
          <w:sz w:val="28"/>
          <w:szCs w:val="24"/>
          <w:shd w:val="clear" w:color="auto" w:fill="FFFFFF"/>
        </w:rPr>
        <w:t>資訊安全宣言</w:t>
      </w:r>
      <w:r w:rsidR="00566148" w:rsidRPr="00512C5F">
        <w:rPr>
          <w:rStyle w:val="a8"/>
          <w:rFonts w:ascii="標楷體" w:eastAsia="標楷體" w:hAnsi="標楷體" w:cs="Arial" w:hint="eastAsia"/>
          <w:sz w:val="28"/>
          <w:szCs w:val="24"/>
          <w:shd w:val="clear" w:color="auto" w:fill="FFFFFF"/>
        </w:rPr>
        <w:t>(公司介紹)</w:t>
      </w:r>
    </w:p>
    <w:p w14:paraId="78B24022" w14:textId="45E6334B" w:rsidR="004F4A80" w:rsidRPr="00512C5F" w:rsidRDefault="004921D6" w:rsidP="00722EFE">
      <w:pPr>
        <w:widowControl/>
        <w:shd w:val="clear" w:color="auto" w:fill="FFFFFF"/>
        <w:spacing w:beforeAutospacing="1" w:afterAutospacing="1"/>
        <w:jc w:val="both"/>
        <w:rPr>
          <w:rFonts w:ascii="標楷體" w:eastAsia="標楷體" w:hAnsi="標楷體" w:cs="Times New Roman"/>
          <w:kern w:val="0"/>
          <w:sz w:val="28"/>
          <w:szCs w:val="24"/>
          <w:bdr w:val="none" w:sz="0" w:space="0" w:color="auto" w:frame="1"/>
        </w:rPr>
      </w:pPr>
      <w:proofErr w:type="gramStart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="00722EFE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為</w:t>
      </w:r>
      <w:r w:rsidR="00722EFE" w:rsidRPr="00512C5F">
        <w:rPr>
          <w:rFonts w:ascii="標楷體" w:eastAsia="標楷體" w:hAnsi="標楷體" w:cs="Times New Roman"/>
          <w:kern w:val="0"/>
          <w:sz w:val="28"/>
          <w:szCs w:val="24"/>
          <w:bdr w:val="none" w:sz="0" w:space="0" w:color="auto" w:frame="1"/>
        </w:rPr>
        <w:t>Fabless IC設計公司</w:t>
      </w:r>
      <w:r w:rsidR="00722EFE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，</w:t>
      </w:r>
      <w:r w:rsidR="00E6151C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提供</w:t>
      </w:r>
      <w:r w:rsidR="00722EFE" w:rsidRPr="00512C5F">
        <w:rPr>
          <w:rFonts w:ascii="標楷體" w:eastAsia="標楷體" w:hAnsi="標楷體" w:cs="Times New Roman"/>
          <w:kern w:val="0"/>
          <w:sz w:val="28"/>
          <w:szCs w:val="24"/>
          <w:bdr w:val="none" w:sz="0" w:space="0" w:color="auto" w:frame="1"/>
        </w:rPr>
        <w:t>顯示器驅動DDIC (display driver IC)</w:t>
      </w:r>
      <w:r w:rsidR="00722EFE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、</w:t>
      </w:r>
      <w:r w:rsidR="00722EFE" w:rsidRPr="00512C5F">
        <w:rPr>
          <w:rFonts w:ascii="標楷體" w:eastAsia="標楷體" w:hAnsi="標楷體" w:cs="Times New Roman"/>
          <w:kern w:val="0"/>
          <w:sz w:val="28"/>
          <w:szCs w:val="24"/>
          <w:bdr w:val="none" w:sz="0" w:space="0" w:color="auto" w:frame="1"/>
        </w:rPr>
        <w:t>電源控制晶片(Power IC)、光學感測器 (Optical sensors)、微機電感測器 (MEMS sensors)、電容觸控晶片(Touch controller IC)</w:t>
      </w:r>
      <w:r w:rsidR="00722EFE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設計</w:t>
      </w:r>
      <w:r w:rsidR="00E6151C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服務給全球客戶並與之建立長期互惠夥伴關係之際，願意積極深化資訊安全與機密資訊保護機制，以維護</w:t>
      </w:r>
      <w:proofErr w:type="gramStart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="00E6151C"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的市場競爭力及保障客戶與合作夥伴之利益。</w:t>
      </w:r>
    </w:p>
    <w:p w14:paraId="1D87185E" w14:textId="0A922797" w:rsidR="004F4A80" w:rsidRPr="00512C5F" w:rsidRDefault="004F4A80" w:rsidP="00324085">
      <w:pPr>
        <w:pStyle w:val="Web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r w:rsidRPr="00512C5F">
        <w:rPr>
          <w:rFonts w:ascii="標楷體" w:eastAsia="標楷體" w:hAnsi="標楷體" w:cs="Calibri"/>
          <w:b/>
          <w:bCs/>
          <w:sz w:val="28"/>
        </w:rPr>
        <w:t>資訊安全治理</w:t>
      </w:r>
      <w:r w:rsidRPr="00512C5F">
        <w:rPr>
          <w:rFonts w:ascii="標楷體" w:eastAsia="標楷體" w:hAnsi="標楷體" w:cs="Arial"/>
          <w:sz w:val="28"/>
        </w:rPr>
        <w:br/>
      </w:r>
      <w:proofErr w:type="gramStart"/>
      <w:r w:rsidR="004921D6"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="004921D6"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Pr="00512C5F">
        <w:rPr>
          <w:rFonts w:ascii="標楷體" w:eastAsia="標楷體" w:hAnsi="標楷體" w:cs="Calibri" w:hint="eastAsia"/>
          <w:sz w:val="28"/>
        </w:rPr>
        <w:t>設有</w:t>
      </w:r>
      <w:r w:rsidRPr="00512C5F">
        <w:rPr>
          <w:rFonts w:ascii="標楷體" w:eastAsia="標楷體" w:hAnsi="標楷體" w:cs="Calibri"/>
          <w:sz w:val="28"/>
        </w:rPr>
        <w:t>資訊安全委員會(IT Security Committee)並任命</w:t>
      </w:r>
      <w:r w:rsidR="00405D32" w:rsidRPr="00512C5F">
        <w:rPr>
          <w:rFonts w:ascii="標楷體" w:eastAsia="標楷體" w:hAnsi="標楷體" w:cs="Calibri" w:hint="eastAsia"/>
          <w:sz w:val="28"/>
        </w:rPr>
        <w:t>李博</w:t>
      </w:r>
      <w:r w:rsidR="00405D32" w:rsidRPr="00512C5F">
        <w:rPr>
          <w:rFonts w:ascii="標楷體" w:eastAsia="標楷體" w:hAnsi="標楷體" w:cs="Calibri" w:hint="eastAsia"/>
          <w:sz w:val="28"/>
        </w:rPr>
        <w:lastRenderedPageBreak/>
        <w:t>源副總</w:t>
      </w:r>
      <w:r w:rsidRPr="00512C5F">
        <w:rPr>
          <w:rFonts w:ascii="標楷體" w:eastAsia="標楷體" w:hAnsi="標楷體" w:cs="Calibri" w:hint="eastAsia"/>
          <w:sz w:val="28"/>
        </w:rPr>
        <w:t>擔任</w:t>
      </w:r>
      <w:proofErr w:type="gramStart"/>
      <w:r w:rsidR="004921D6"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="004921D6"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Pr="00512C5F">
        <w:rPr>
          <w:rFonts w:ascii="標楷體" w:eastAsia="標楷體" w:hAnsi="標楷體" w:cs="Calibri" w:hint="eastAsia"/>
          <w:sz w:val="28"/>
        </w:rPr>
        <w:t>資</w:t>
      </w:r>
      <w:r w:rsidRPr="00512C5F">
        <w:rPr>
          <w:rFonts w:ascii="標楷體" w:eastAsia="標楷體" w:hAnsi="標楷體" w:cs="Calibri"/>
          <w:sz w:val="28"/>
        </w:rPr>
        <w:t>訊</w:t>
      </w:r>
      <w:r w:rsidRPr="00512C5F">
        <w:rPr>
          <w:rFonts w:ascii="標楷體" w:eastAsia="標楷體" w:hAnsi="標楷體" w:cs="Calibri" w:hint="eastAsia"/>
          <w:sz w:val="28"/>
        </w:rPr>
        <w:t>安</w:t>
      </w:r>
      <w:r w:rsidRPr="00512C5F">
        <w:rPr>
          <w:rFonts w:ascii="標楷體" w:eastAsia="標楷體" w:hAnsi="標楷體" w:cs="Calibri"/>
          <w:sz w:val="28"/>
        </w:rPr>
        <w:t>全</w:t>
      </w:r>
      <w:r w:rsidRPr="00512C5F">
        <w:rPr>
          <w:rFonts w:ascii="標楷體" w:eastAsia="標楷體" w:hAnsi="標楷體" w:cs="Calibri" w:hint="eastAsia"/>
          <w:sz w:val="28"/>
        </w:rPr>
        <w:t>長（</w:t>
      </w:r>
      <w:r w:rsidRPr="00512C5F">
        <w:rPr>
          <w:rFonts w:ascii="標楷體" w:eastAsia="標楷體" w:hAnsi="標楷體" w:cs="Calibri"/>
          <w:sz w:val="28"/>
        </w:rPr>
        <w:t>CISO</w:t>
      </w:r>
      <w:r w:rsidRPr="00512C5F">
        <w:rPr>
          <w:rFonts w:ascii="標楷體" w:eastAsia="標楷體" w:hAnsi="標楷體" w:cs="Calibri" w:hint="eastAsia"/>
          <w:sz w:val="28"/>
        </w:rPr>
        <w:t>），負責</w:t>
      </w:r>
      <w:r w:rsidRPr="00512C5F">
        <w:rPr>
          <w:rFonts w:ascii="標楷體" w:eastAsia="標楷體" w:hAnsi="標楷體" w:cs="Calibri"/>
          <w:sz w:val="28"/>
        </w:rPr>
        <w:t>資訊安全政策與制度之規劃、監控及管理作業</w:t>
      </w:r>
      <w:r w:rsidRPr="00512C5F">
        <w:rPr>
          <w:rFonts w:ascii="標楷體" w:eastAsia="標楷體" w:hAnsi="標楷體" w:cs="Calibri" w:hint="eastAsia"/>
          <w:sz w:val="28"/>
        </w:rPr>
        <w:t>，並</w:t>
      </w:r>
      <w:r w:rsidRPr="00512C5F">
        <w:rPr>
          <w:rFonts w:ascii="標楷體" w:eastAsia="標楷體" w:hAnsi="標楷體" w:cs="Calibri"/>
          <w:sz w:val="28"/>
        </w:rPr>
        <w:t>與公司資訊技術及相關單位組織協同合作</w:t>
      </w:r>
      <w:r w:rsidRPr="00512C5F">
        <w:rPr>
          <w:rFonts w:ascii="標楷體" w:eastAsia="標楷體" w:hAnsi="標楷體" w:cs="Calibri" w:hint="eastAsia"/>
          <w:sz w:val="28"/>
        </w:rPr>
        <w:t>，</w:t>
      </w:r>
      <w:r w:rsidRPr="00512C5F">
        <w:rPr>
          <w:rFonts w:ascii="標楷體" w:eastAsia="標楷體" w:hAnsi="標楷體" w:cs="Calibri"/>
          <w:sz w:val="28"/>
        </w:rPr>
        <w:t>強化資通安全防護及管理機制</w:t>
      </w:r>
      <w:r w:rsidRPr="00512C5F">
        <w:rPr>
          <w:rFonts w:ascii="標楷體" w:eastAsia="標楷體" w:hAnsi="標楷體" w:cs="Calibri" w:hint="eastAsia"/>
          <w:sz w:val="28"/>
        </w:rPr>
        <w:t>。</w:t>
      </w:r>
    </w:p>
    <w:p w14:paraId="3EF48043" w14:textId="63F7B202" w:rsidR="004F4A80" w:rsidRPr="00512C5F" w:rsidRDefault="004F4A80" w:rsidP="00011AF2">
      <w:pPr>
        <w:widowControl/>
        <w:shd w:val="clear" w:color="auto" w:fill="FFFFFF"/>
        <w:spacing w:beforeAutospacing="1" w:afterAutospacing="1"/>
        <w:rPr>
          <w:rFonts w:ascii="標楷體" w:eastAsia="標楷體" w:hAnsi="標楷體" w:cs="Arial"/>
          <w:kern w:val="0"/>
          <w:sz w:val="28"/>
          <w:szCs w:val="24"/>
        </w:rPr>
      </w:pPr>
    </w:p>
    <w:p w14:paraId="77CC7EA3" w14:textId="3F056004" w:rsidR="004706EC" w:rsidRPr="00512C5F" w:rsidRDefault="00EC38EA">
      <w:pPr>
        <w:rPr>
          <w:rFonts w:ascii="標楷體" w:eastAsia="標楷體" w:hAnsi="標楷體"/>
          <w:sz w:val="28"/>
          <w:szCs w:val="24"/>
        </w:rPr>
      </w:pPr>
      <w:r w:rsidRPr="00512C5F">
        <w:rPr>
          <w:rFonts w:ascii="標楷體" w:eastAsia="標楷體" w:hAnsi="標楷體"/>
          <w:noProof/>
          <w:sz w:val="28"/>
          <w:szCs w:val="24"/>
        </w:rPr>
        <w:drawing>
          <wp:inline distT="0" distB="0" distL="0" distR="0" wp14:anchorId="4C41570A" wp14:editId="01B4EF75">
            <wp:extent cx="5256584" cy="3369202"/>
            <wp:effectExtent l="0" t="0" r="1270" b="3175"/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A53317EA-8A2A-446B-B049-2E13D9956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A53317EA-8A2A-446B-B049-2E13D99563BB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84" cy="336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AF4E1" w14:textId="295E94B0" w:rsidR="0063515B" w:rsidRPr="00512C5F" w:rsidRDefault="004921D6" w:rsidP="00324085">
      <w:pPr>
        <w:jc w:val="center"/>
        <w:rPr>
          <w:rFonts w:ascii="標楷體" w:eastAsia="標楷體" w:hAnsi="標楷體" w:cs="Arial"/>
          <w:b/>
          <w:bCs/>
          <w:sz w:val="28"/>
          <w:szCs w:val="24"/>
          <w:shd w:val="clear" w:color="auto" w:fill="FFFFFF"/>
        </w:rPr>
      </w:pPr>
      <w:proofErr w:type="gramStart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kern w:val="0"/>
          <w:sz w:val="28"/>
          <w:szCs w:val="24"/>
          <w:bdr w:val="none" w:sz="0" w:space="0" w:color="auto" w:frame="1"/>
        </w:rPr>
        <w:t>旭智能</w:t>
      </w:r>
      <w:r w:rsidR="0063515B" w:rsidRPr="00512C5F">
        <w:rPr>
          <w:rFonts w:ascii="標楷體" w:eastAsia="標楷體" w:hAnsi="標楷體" w:cs="Arial"/>
          <w:b/>
          <w:bCs/>
          <w:sz w:val="28"/>
          <w:szCs w:val="24"/>
          <w:shd w:val="clear" w:color="auto" w:fill="FFFFFF"/>
        </w:rPr>
        <w:t>資訊安全組織</w:t>
      </w:r>
    </w:p>
    <w:p w14:paraId="7C8831B8" w14:textId="5551C4A9" w:rsidR="0063515B" w:rsidRPr="00512C5F" w:rsidRDefault="0063515B">
      <w:pPr>
        <w:rPr>
          <w:rFonts w:ascii="標楷體" w:eastAsia="標楷體" w:hAnsi="標楷體"/>
          <w:sz w:val="28"/>
          <w:szCs w:val="24"/>
        </w:rPr>
      </w:pPr>
    </w:p>
    <w:p w14:paraId="3CF25E89" w14:textId="39219120" w:rsidR="00324085" w:rsidRPr="00512C5F" w:rsidRDefault="00324085">
      <w:pPr>
        <w:rPr>
          <w:rFonts w:ascii="標楷體" w:eastAsia="標楷體" w:hAnsi="標楷體"/>
          <w:sz w:val="28"/>
          <w:szCs w:val="24"/>
        </w:rPr>
      </w:pPr>
    </w:p>
    <w:p w14:paraId="57C94CEB" w14:textId="6098BA79" w:rsidR="00324085" w:rsidRPr="00512C5F" w:rsidRDefault="00324085">
      <w:pPr>
        <w:rPr>
          <w:rFonts w:ascii="標楷體" w:eastAsia="標楷體" w:hAnsi="標楷體"/>
          <w:sz w:val="28"/>
          <w:szCs w:val="24"/>
        </w:rPr>
      </w:pPr>
    </w:p>
    <w:p w14:paraId="5E368B66" w14:textId="6D8EA0EB" w:rsidR="00324085" w:rsidRPr="00512C5F" w:rsidRDefault="00324085">
      <w:pPr>
        <w:rPr>
          <w:rFonts w:ascii="標楷體" w:eastAsia="標楷體" w:hAnsi="標楷體"/>
          <w:sz w:val="28"/>
          <w:szCs w:val="24"/>
        </w:rPr>
      </w:pPr>
    </w:p>
    <w:p w14:paraId="13C0418C" w14:textId="77777777" w:rsidR="00324085" w:rsidRPr="00512C5F" w:rsidRDefault="00324085">
      <w:pPr>
        <w:rPr>
          <w:rFonts w:ascii="標楷體" w:eastAsia="標楷體" w:hAnsi="標楷體"/>
          <w:sz w:val="28"/>
          <w:szCs w:val="24"/>
        </w:rPr>
      </w:pPr>
    </w:p>
    <w:p w14:paraId="5A96AF16" w14:textId="77777777" w:rsidR="0063515B" w:rsidRPr="00512C5F" w:rsidRDefault="0063515B" w:rsidP="0063515B">
      <w:pPr>
        <w:pStyle w:val="Web"/>
        <w:shd w:val="clear" w:color="auto" w:fill="FFFFFF"/>
        <w:rPr>
          <w:rFonts w:ascii="標楷體" w:eastAsia="標楷體" w:hAnsi="標楷體" w:cs="Arial"/>
          <w:sz w:val="28"/>
        </w:rPr>
      </w:pPr>
      <w:r w:rsidRPr="00512C5F">
        <w:rPr>
          <w:rFonts w:ascii="標楷體" w:eastAsia="標楷體" w:hAnsi="標楷體" w:cs="Arial"/>
          <w:sz w:val="28"/>
        </w:rPr>
        <w:lastRenderedPageBreak/>
        <w:t> </w:t>
      </w:r>
    </w:p>
    <w:p w14:paraId="61C7B2E9" w14:textId="53C7F1A5" w:rsidR="0063515B" w:rsidRPr="00512C5F" w:rsidRDefault="0063515B" w:rsidP="0063515B">
      <w:pPr>
        <w:pStyle w:val="Web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r w:rsidRPr="00512C5F">
        <w:rPr>
          <w:rFonts w:ascii="標楷體" w:eastAsia="標楷體" w:hAnsi="標楷體" w:cs="Calibri"/>
          <w:b/>
          <w:bCs/>
          <w:sz w:val="28"/>
        </w:rPr>
        <w:t>資訊</w:t>
      </w:r>
      <w:r w:rsidR="00E51B68" w:rsidRPr="00512C5F">
        <w:rPr>
          <w:rFonts w:ascii="標楷體" w:eastAsia="標楷體" w:hAnsi="標楷體" w:cs="Calibri" w:hint="eastAsia"/>
          <w:b/>
          <w:bCs/>
          <w:sz w:val="28"/>
        </w:rPr>
        <w:t>安全小組</w:t>
      </w:r>
    </w:p>
    <w:p w14:paraId="45277F44" w14:textId="297A6F98" w:rsidR="0063515B" w:rsidRPr="00512C5F" w:rsidRDefault="004921D6" w:rsidP="0063515B">
      <w:pPr>
        <w:pStyle w:val="Web"/>
        <w:shd w:val="clear" w:color="auto" w:fill="FFFFFF"/>
        <w:spacing w:before="0" w:after="0"/>
        <w:rPr>
          <w:rFonts w:ascii="標楷體" w:eastAsia="標楷體" w:hAnsi="標楷體" w:cs="Calibri"/>
          <w:sz w:val="28"/>
        </w:rPr>
      </w:pPr>
      <w:bookmarkStart w:id="0" w:name="_Hlk96098128"/>
      <w:bookmarkEnd w:id="0"/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63515B" w:rsidRPr="00512C5F">
        <w:rPr>
          <w:rFonts w:ascii="標楷體" w:eastAsia="標楷體" w:hAnsi="標楷體" w:cs="Calibri" w:hint="eastAsia"/>
          <w:sz w:val="28"/>
        </w:rPr>
        <w:t>成立「</w:t>
      </w:r>
      <w:r w:rsidR="00E51B68" w:rsidRPr="00512C5F">
        <w:rPr>
          <w:rFonts w:ascii="標楷體" w:eastAsia="標楷體" w:hAnsi="標楷體" w:cs="Calibri"/>
          <w:b/>
          <w:bCs/>
          <w:sz w:val="28"/>
        </w:rPr>
        <w:t>資訊</w:t>
      </w:r>
      <w:r w:rsidR="00E51B68" w:rsidRPr="00512C5F">
        <w:rPr>
          <w:rFonts w:ascii="標楷體" w:eastAsia="標楷體" w:hAnsi="標楷體" w:cs="Calibri" w:hint="eastAsia"/>
          <w:b/>
          <w:bCs/>
          <w:sz w:val="28"/>
        </w:rPr>
        <w:t>安全小組</w:t>
      </w:r>
      <w:r w:rsidR="0063515B" w:rsidRPr="00512C5F">
        <w:rPr>
          <w:rFonts w:ascii="標楷體" w:eastAsia="標楷體" w:hAnsi="標楷體" w:cs="Calibri" w:hint="eastAsia"/>
          <w:sz w:val="28"/>
        </w:rPr>
        <w:t>」，由</w:t>
      </w:r>
      <w:r w:rsidRPr="00512C5F">
        <w:rPr>
          <w:rFonts w:ascii="標楷體" w:eastAsia="標楷體" w:hAnsi="標楷體" w:cs="Calibri" w:hint="eastAsia"/>
          <w:sz w:val="28"/>
        </w:rPr>
        <w:t>資源服務中心、資訊</w:t>
      </w:r>
      <w:r w:rsidR="00722EFE" w:rsidRPr="00512C5F">
        <w:rPr>
          <w:rFonts w:ascii="標楷體" w:eastAsia="標楷體" w:hAnsi="標楷體" w:cs="Calibri" w:hint="eastAsia"/>
          <w:sz w:val="28"/>
        </w:rPr>
        <w:t>部門</w:t>
      </w:r>
      <w:r w:rsidR="0063515B" w:rsidRPr="00512C5F">
        <w:rPr>
          <w:rFonts w:ascii="標楷體" w:eastAsia="標楷體" w:hAnsi="標楷體" w:cs="Calibri" w:hint="eastAsia"/>
          <w:sz w:val="28"/>
        </w:rPr>
        <w:t>、</w:t>
      </w:r>
      <w:r w:rsidRPr="00512C5F">
        <w:rPr>
          <w:rFonts w:ascii="標楷體" w:eastAsia="標楷體" w:hAnsi="標楷體" w:cs="Calibri" w:hint="eastAsia"/>
          <w:sz w:val="28"/>
        </w:rPr>
        <w:t>人資資源</w:t>
      </w:r>
      <w:r w:rsidR="00722EFE" w:rsidRPr="00512C5F">
        <w:rPr>
          <w:rFonts w:ascii="標楷體" w:eastAsia="標楷體" w:hAnsi="標楷體" w:cs="Calibri" w:hint="eastAsia"/>
          <w:sz w:val="28"/>
        </w:rPr>
        <w:t>部門</w:t>
      </w:r>
      <w:r w:rsidR="00E51B68" w:rsidRPr="00512C5F">
        <w:rPr>
          <w:rFonts w:ascii="標楷體" w:eastAsia="標楷體" w:hAnsi="標楷體" w:cs="Calibri" w:hint="eastAsia"/>
          <w:sz w:val="28"/>
        </w:rPr>
        <w:t>、</w:t>
      </w:r>
      <w:proofErr w:type="gramStart"/>
      <w:r w:rsidRPr="00512C5F">
        <w:rPr>
          <w:rFonts w:ascii="標楷體" w:eastAsia="標楷體" w:hAnsi="標楷體" w:cs="Calibri" w:hint="eastAsia"/>
          <w:sz w:val="28"/>
        </w:rPr>
        <w:t>技管</w:t>
      </w:r>
      <w:r w:rsidR="00722EFE" w:rsidRPr="00512C5F">
        <w:rPr>
          <w:rFonts w:ascii="標楷體" w:eastAsia="標楷體" w:hAnsi="標楷體" w:cs="Calibri" w:hint="eastAsia"/>
          <w:sz w:val="28"/>
        </w:rPr>
        <w:t>部門</w:t>
      </w:r>
      <w:proofErr w:type="gramEnd"/>
      <w:r w:rsidR="0063515B" w:rsidRPr="00512C5F">
        <w:rPr>
          <w:rFonts w:ascii="標楷體" w:eastAsia="標楷體" w:hAnsi="標楷體" w:cs="Calibri" w:hint="eastAsia"/>
          <w:sz w:val="28"/>
        </w:rPr>
        <w:t>擔任</w:t>
      </w:r>
      <w:r w:rsidR="00E51B68" w:rsidRPr="00512C5F">
        <w:rPr>
          <w:rFonts w:ascii="標楷體" w:eastAsia="標楷體" w:hAnsi="標楷體" w:cs="Calibri" w:hint="eastAsia"/>
          <w:sz w:val="28"/>
        </w:rPr>
        <w:t>小組</w:t>
      </w:r>
      <w:r w:rsidR="0063515B" w:rsidRPr="00512C5F">
        <w:rPr>
          <w:rFonts w:ascii="標楷體" w:eastAsia="標楷體" w:hAnsi="標楷體" w:cs="Calibri" w:hint="eastAsia"/>
          <w:sz w:val="28"/>
        </w:rPr>
        <w:t>成員，定期召開會議檢視及決議重要資訊安全與資訊保護政策與計畫執行，確保實現</w:t>
      </w:r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63515B" w:rsidRPr="00512C5F">
        <w:rPr>
          <w:rFonts w:ascii="標楷體" w:eastAsia="標楷體" w:hAnsi="標楷體" w:cs="Calibri" w:hint="eastAsia"/>
          <w:sz w:val="28"/>
        </w:rPr>
        <w:t>資訊安全政策目標。</w:t>
      </w:r>
    </w:p>
    <w:p w14:paraId="174A3FC1" w14:textId="77777777" w:rsidR="0063515B" w:rsidRPr="00512C5F" w:rsidRDefault="0063515B" w:rsidP="0063515B">
      <w:pPr>
        <w:pStyle w:val="aa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r w:rsidRPr="00512C5F">
        <w:rPr>
          <w:rFonts w:ascii="標楷體" w:eastAsia="標楷體" w:hAnsi="標楷體" w:cs="Calibri"/>
          <w:b/>
          <w:bCs/>
          <w:sz w:val="28"/>
        </w:rPr>
        <w:t>資訊安全委員會</w:t>
      </w:r>
    </w:p>
    <w:p w14:paraId="167C7FBF" w14:textId="74359659" w:rsidR="0063515B" w:rsidRPr="00512C5F" w:rsidRDefault="004921D6" w:rsidP="0063515B">
      <w:pPr>
        <w:pStyle w:val="aa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sz w:val="28"/>
        </w:rPr>
      </w:pPr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63515B" w:rsidRPr="00512C5F">
        <w:rPr>
          <w:rFonts w:ascii="標楷體" w:eastAsia="標楷體" w:hAnsi="標楷體" w:cs="Calibri" w:hint="eastAsia"/>
          <w:sz w:val="28"/>
        </w:rPr>
        <w:t>成立「資訊安全委員會（</w:t>
      </w:r>
      <w:r w:rsidR="0063515B" w:rsidRPr="00512C5F">
        <w:rPr>
          <w:rFonts w:ascii="標楷體" w:eastAsia="標楷體" w:hAnsi="標楷體" w:cs="Calibri"/>
          <w:sz w:val="28"/>
        </w:rPr>
        <w:t>IT Security Committee</w:t>
      </w:r>
      <w:r w:rsidR="0063515B" w:rsidRPr="00512C5F">
        <w:rPr>
          <w:rFonts w:ascii="標楷體" w:eastAsia="標楷體" w:hAnsi="標楷體" w:cs="Calibri" w:hint="eastAsia"/>
          <w:sz w:val="28"/>
        </w:rPr>
        <w:t>）」，由</w:t>
      </w:r>
      <w:r w:rsidR="00832D77" w:rsidRPr="00512C5F">
        <w:rPr>
          <w:rFonts w:ascii="標楷體" w:eastAsia="標楷體" w:hAnsi="標楷體" w:cs="Calibri" w:hint="eastAsia"/>
          <w:sz w:val="28"/>
        </w:rPr>
        <w:t>副總</w:t>
      </w:r>
      <w:r w:rsidR="0063515B" w:rsidRPr="00512C5F">
        <w:rPr>
          <w:rFonts w:ascii="標楷體" w:eastAsia="標楷體" w:hAnsi="標楷體" w:cs="Calibri" w:hint="eastAsia"/>
          <w:sz w:val="28"/>
        </w:rPr>
        <w:t>擔任</w:t>
      </w:r>
      <w:proofErr w:type="gramStart"/>
      <w:r w:rsidR="00E51B68" w:rsidRPr="00512C5F">
        <w:rPr>
          <w:rFonts w:ascii="標楷體" w:eastAsia="標楷體" w:hAnsi="標楷體" w:cs="Calibri" w:hint="eastAsia"/>
          <w:sz w:val="28"/>
        </w:rPr>
        <w:t>資安長</w:t>
      </w:r>
      <w:proofErr w:type="gramEnd"/>
      <w:r w:rsidR="0063515B" w:rsidRPr="00512C5F">
        <w:rPr>
          <w:rFonts w:ascii="標楷體" w:eastAsia="標楷體" w:hAnsi="標楷體" w:cs="Calibri" w:hint="eastAsia"/>
          <w:sz w:val="28"/>
        </w:rPr>
        <w:t>，由</w:t>
      </w:r>
      <w:r w:rsidR="00E51B68" w:rsidRPr="00512C5F">
        <w:rPr>
          <w:rFonts w:ascii="標楷體" w:eastAsia="標楷體" w:hAnsi="標楷體" w:cs="Calibri" w:hint="eastAsia"/>
          <w:sz w:val="28"/>
        </w:rPr>
        <w:t>各</w:t>
      </w:r>
      <w:r w:rsidRPr="00512C5F">
        <w:rPr>
          <w:rFonts w:ascii="標楷體" w:eastAsia="標楷體" w:hAnsi="標楷體" w:cs="Calibri" w:hint="eastAsia"/>
          <w:sz w:val="28"/>
        </w:rPr>
        <w:t>部門推派相關同仁</w:t>
      </w:r>
      <w:r w:rsidR="0063515B" w:rsidRPr="00512C5F">
        <w:rPr>
          <w:rFonts w:ascii="標楷體" w:eastAsia="標楷體" w:hAnsi="標楷體" w:cs="Calibri" w:hint="eastAsia"/>
          <w:sz w:val="28"/>
        </w:rPr>
        <w:t>擔任委員會成員，定期召開會議檢視重要資訊安全政策、資訊安全風險評估與強化計畫、資訊安全指標與全球資訊安全態勢與威脅，確保達成</w:t>
      </w:r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63515B" w:rsidRPr="00512C5F">
        <w:rPr>
          <w:rFonts w:ascii="標楷體" w:eastAsia="標楷體" w:hAnsi="標楷體" w:cs="Calibri" w:hint="eastAsia"/>
          <w:sz w:val="28"/>
        </w:rPr>
        <w:t>資訊安全政策與管理目標。</w:t>
      </w:r>
    </w:p>
    <w:p w14:paraId="5430AB57" w14:textId="6A29FBA0" w:rsidR="00E51B68" w:rsidRPr="00512C5F" w:rsidRDefault="00E51B68">
      <w:pPr>
        <w:rPr>
          <w:rFonts w:ascii="標楷體" w:eastAsia="標楷體" w:hAnsi="標楷體"/>
          <w:sz w:val="28"/>
          <w:szCs w:val="24"/>
        </w:rPr>
      </w:pPr>
    </w:p>
    <w:p w14:paraId="2322CE85" w14:textId="77777777" w:rsidR="00E51B68" w:rsidRPr="00512C5F" w:rsidRDefault="00E51B68" w:rsidP="00E51B68">
      <w:pPr>
        <w:pStyle w:val="aa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r w:rsidRPr="00512C5F">
        <w:rPr>
          <w:rFonts w:ascii="標楷體" w:eastAsia="標楷體" w:hAnsi="標楷體" w:cs="Times New Roman" w:hint="eastAsia"/>
          <w:b/>
          <w:bCs/>
          <w:sz w:val="28"/>
        </w:rPr>
        <w:t>資訊安全管理與執行重點</w:t>
      </w:r>
    </w:p>
    <w:p w14:paraId="09598715" w14:textId="518CB562" w:rsidR="00E51B68" w:rsidRPr="00512C5F" w:rsidRDefault="004921D6" w:rsidP="00E51B68">
      <w:pPr>
        <w:pStyle w:val="a00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E51B68" w:rsidRPr="00512C5F">
        <w:rPr>
          <w:rFonts w:ascii="標楷體" w:eastAsia="標楷體" w:hAnsi="標楷體" w:cs="Times New Roman" w:hint="eastAsia"/>
          <w:sz w:val="28"/>
        </w:rPr>
        <w:t>為了預防及降低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外部資安風險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，落實及持續更新嚴謹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的資安措施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，例如建置先進的病毒掃描工具，以防止</w:t>
      </w:r>
      <w:r w:rsidR="00722EFE" w:rsidRPr="00512C5F">
        <w:rPr>
          <w:rFonts w:ascii="標楷體" w:eastAsia="標楷體" w:hAnsi="標楷體" w:cs="Times New Roman" w:hint="eastAsia"/>
          <w:sz w:val="28"/>
        </w:rPr>
        <w:t>公司</w:t>
      </w:r>
      <w:r w:rsidR="00324085" w:rsidRPr="00512C5F">
        <w:rPr>
          <w:rFonts w:ascii="標楷體" w:eastAsia="標楷體" w:hAnsi="標楷體" w:cs="Times New Roman" w:hint="eastAsia"/>
          <w:sz w:val="28"/>
        </w:rPr>
        <w:t>所使用之資訊系統遭</w:t>
      </w:r>
      <w:r w:rsidR="00E51B68" w:rsidRPr="00512C5F">
        <w:rPr>
          <w:rFonts w:ascii="標楷體" w:eastAsia="標楷體" w:hAnsi="標楷體" w:cs="Times New Roman" w:hint="eastAsia"/>
          <w:sz w:val="28"/>
        </w:rPr>
        <w:t>受病毒感染；強化網路防火牆與網路控管以防止電腦病毒跨</w:t>
      </w:r>
      <w:r w:rsidR="00E51B68" w:rsidRPr="00512C5F">
        <w:rPr>
          <w:rFonts w:ascii="標楷體" w:eastAsia="標楷體" w:hAnsi="標楷體" w:cs="Times New Roman" w:hint="eastAsia"/>
          <w:sz w:val="28"/>
        </w:rPr>
        <w:lastRenderedPageBreak/>
        <w:t>廠區擴散；在公司電腦上 建置防毒措施及先進的惡意軟體偵測解決方案；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改善資安部署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時間以強化資料中心安全。並建立與定期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檢討資安績效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指標；導入新技術加強資料保護；加強釣魚郵件偵測並定期執行員工警覺性測試；建立一個整合的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自動化資安維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運平台並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強化資安事件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偵測與處理自動化；持續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演練資安攻擊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之處理程序；委託外部專家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執行資安評鑑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等。每年持續進行</w:t>
      </w:r>
      <w:proofErr w:type="gramStart"/>
      <w:r w:rsidR="00E51B68" w:rsidRPr="00512C5F">
        <w:rPr>
          <w:rFonts w:ascii="標楷體" w:eastAsia="標楷體" w:hAnsi="標楷體" w:cs="Times New Roman" w:hint="eastAsia"/>
          <w:sz w:val="28"/>
        </w:rPr>
        <w:t>的資安執行</w:t>
      </w:r>
      <w:proofErr w:type="gramEnd"/>
      <w:r w:rsidR="00E51B68" w:rsidRPr="00512C5F">
        <w:rPr>
          <w:rFonts w:ascii="標楷體" w:eastAsia="標楷體" w:hAnsi="標楷體" w:cs="Times New Roman" w:hint="eastAsia"/>
          <w:sz w:val="28"/>
        </w:rPr>
        <w:t>重點如下：</w:t>
      </w:r>
    </w:p>
    <w:p w14:paraId="2E9283E1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網路安全控管</w:t>
      </w:r>
    </w:p>
    <w:p w14:paraId="45DA1146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資產管理及資料保護</w:t>
      </w:r>
    </w:p>
    <w:p w14:paraId="59D58FA8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存取控制</w:t>
      </w:r>
    </w:p>
    <w:p w14:paraId="70F50914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電腦維運安全管理</w:t>
      </w:r>
    </w:p>
    <w:p w14:paraId="036A376F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人員及實體安全</w:t>
      </w:r>
    </w:p>
    <w:p w14:paraId="1CDD57D8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應用程式安全</w:t>
      </w:r>
    </w:p>
    <w:p w14:paraId="727FCDFC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proofErr w:type="gramStart"/>
      <w:r w:rsidRPr="00512C5F">
        <w:rPr>
          <w:rFonts w:hint="eastAsia"/>
          <w:szCs w:val="28"/>
        </w:rPr>
        <w:t>資安事件</w:t>
      </w:r>
      <w:proofErr w:type="gramEnd"/>
      <w:r w:rsidRPr="00512C5F">
        <w:rPr>
          <w:rFonts w:hint="eastAsia"/>
          <w:szCs w:val="28"/>
        </w:rPr>
        <w:t>處理（包括威脅監控／應變等）與管理</w:t>
      </w:r>
      <w:r w:rsidRPr="00512C5F">
        <w:rPr>
          <w:rFonts w:hint="eastAsia"/>
          <w:szCs w:val="28"/>
        </w:rPr>
        <w:t> </w:t>
      </w:r>
    </w:p>
    <w:p w14:paraId="2C0E388E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供應鏈安全</w:t>
      </w:r>
    </w:p>
    <w:p w14:paraId="389C6ABD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proofErr w:type="gramStart"/>
      <w:r w:rsidRPr="00512C5F">
        <w:rPr>
          <w:rFonts w:hint="eastAsia"/>
          <w:szCs w:val="28"/>
        </w:rPr>
        <w:t>人員資安管理</w:t>
      </w:r>
      <w:proofErr w:type="gramEnd"/>
      <w:r w:rsidRPr="00512C5F">
        <w:rPr>
          <w:rFonts w:hint="eastAsia"/>
          <w:szCs w:val="28"/>
        </w:rPr>
        <w:t>與教育宣導</w:t>
      </w:r>
    </w:p>
    <w:p w14:paraId="63B7B59E" w14:textId="77777777" w:rsidR="004921D6" w:rsidRPr="00512C5F" w:rsidRDefault="004921D6" w:rsidP="004921D6">
      <w:pPr>
        <w:pStyle w:val="a1"/>
        <w:numPr>
          <w:ilvl w:val="2"/>
          <w:numId w:val="4"/>
        </w:numPr>
        <w:ind w:left="1134" w:hanging="567"/>
        <w:textAlignment w:val="baseline"/>
        <w:rPr>
          <w:szCs w:val="28"/>
        </w:rPr>
      </w:pPr>
      <w:r w:rsidRPr="00512C5F">
        <w:rPr>
          <w:rFonts w:hint="eastAsia"/>
          <w:szCs w:val="28"/>
        </w:rPr>
        <w:t>內</w:t>
      </w:r>
      <w:r w:rsidRPr="00512C5F">
        <w:rPr>
          <w:rFonts w:hint="eastAsia"/>
          <w:szCs w:val="28"/>
        </w:rPr>
        <w:t>/</w:t>
      </w:r>
      <w:r w:rsidRPr="00512C5F">
        <w:rPr>
          <w:rFonts w:hint="eastAsia"/>
          <w:szCs w:val="28"/>
        </w:rPr>
        <w:t>外部</w:t>
      </w:r>
      <w:proofErr w:type="gramStart"/>
      <w:r w:rsidRPr="00512C5F">
        <w:rPr>
          <w:rFonts w:hint="eastAsia"/>
          <w:szCs w:val="28"/>
        </w:rPr>
        <w:t>資安評</w:t>
      </w:r>
      <w:proofErr w:type="gramEnd"/>
      <w:r w:rsidRPr="00512C5F">
        <w:rPr>
          <w:rFonts w:hint="eastAsia"/>
          <w:szCs w:val="28"/>
        </w:rPr>
        <w:t>測與風險管理</w:t>
      </w:r>
    </w:p>
    <w:p w14:paraId="67A70CDA" w14:textId="0524193F" w:rsidR="00E51B68" w:rsidRPr="00512C5F" w:rsidRDefault="00E51B68">
      <w:pPr>
        <w:rPr>
          <w:rFonts w:ascii="標楷體" w:eastAsia="標楷體" w:hAnsi="標楷體"/>
          <w:sz w:val="28"/>
          <w:szCs w:val="24"/>
        </w:rPr>
      </w:pPr>
    </w:p>
    <w:p w14:paraId="5BF32CE6" w14:textId="77777777" w:rsidR="00E51B68" w:rsidRPr="00512C5F" w:rsidRDefault="00E51B68" w:rsidP="00E51B68">
      <w:pPr>
        <w:pStyle w:val="Web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proofErr w:type="gramStart"/>
      <w:r w:rsidRPr="00512C5F">
        <w:rPr>
          <w:rFonts w:ascii="標楷體" w:eastAsia="標楷體" w:hAnsi="標楷體" w:cs="Times New Roman" w:hint="eastAsia"/>
          <w:b/>
          <w:bCs/>
          <w:sz w:val="28"/>
        </w:rPr>
        <w:t>資安事件</w:t>
      </w:r>
      <w:proofErr w:type="gramEnd"/>
      <w:r w:rsidRPr="00512C5F">
        <w:rPr>
          <w:rFonts w:ascii="標楷體" w:eastAsia="標楷體" w:hAnsi="標楷體" w:cs="Times New Roman" w:hint="eastAsia"/>
          <w:b/>
          <w:bCs/>
          <w:sz w:val="28"/>
        </w:rPr>
        <w:t>處理與通報</w:t>
      </w:r>
    </w:p>
    <w:p w14:paraId="1B0E63A6" w14:textId="7F2DBB9B" w:rsidR="00E51B68" w:rsidRPr="00512C5F" w:rsidRDefault="004921D6" w:rsidP="00E51B68">
      <w:pPr>
        <w:pStyle w:val="Web"/>
        <w:shd w:val="clear" w:color="auto" w:fill="FFFFFF"/>
        <w:spacing w:before="0" w:after="0"/>
        <w:rPr>
          <w:rFonts w:ascii="標楷體" w:eastAsia="標楷體" w:hAnsi="標楷體" w:cs="Arial"/>
          <w:sz w:val="28"/>
        </w:rPr>
      </w:pPr>
      <w:proofErr w:type="gramStart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磐</w:t>
      </w:r>
      <w:proofErr w:type="gramEnd"/>
      <w:r w:rsidRPr="00512C5F">
        <w:rPr>
          <w:rFonts w:ascii="標楷體" w:eastAsia="標楷體" w:hAnsi="標楷體" w:cs="Times New Roman" w:hint="eastAsia"/>
          <w:sz w:val="28"/>
          <w:bdr w:val="none" w:sz="0" w:space="0" w:color="auto" w:frame="1"/>
        </w:rPr>
        <w:t>旭智能</w:t>
      </w:r>
      <w:r w:rsidR="00E51B68" w:rsidRPr="00512C5F">
        <w:rPr>
          <w:rFonts w:ascii="標楷體" w:eastAsia="標楷體" w:hAnsi="標楷體" w:cs="Arial"/>
          <w:sz w:val="28"/>
        </w:rPr>
        <w:t>已</w:t>
      </w:r>
      <w:r w:rsidR="007F22C2" w:rsidRPr="00512C5F">
        <w:rPr>
          <w:rFonts w:ascii="標楷體" w:eastAsia="標楷體" w:hAnsi="標楷體" w:cs="Arial" w:hint="eastAsia"/>
          <w:sz w:val="28"/>
        </w:rPr>
        <w:t>成立</w:t>
      </w:r>
      <w:r w:rsidR="00722EFE" w:rsidRPr="00512C5F">
        <w:rPr>
          <w:rFonts w:ascii="標楷體" w:eastAsia="標楷體" w:hAnsi="標楷體" w:cs="Arial" w:hint="eastAsia"/>
          <w:sz w:val="28"/>
        </w:rPr>
        <w:t>資訊安全應變中心</w:t>
      </w:r>
      <w:r w:rsidR="00E51B68" w:rsidRPr="00512C5F">
        <w:rPr>
          <w:rFonts w:ascii="標楷體" w:eastAsia="標楷體" w:hAnsi="標楷體" w:cs="Arial"/>
          <w:sz w:val="28"/>
        </w:rPr>
        <w:t>與資</w:t>
      </w:r>
      <w:r w:rsidR="007F22C2" w:rsidRPr="00512C5F">
        <w:rPr>
          <w:rFonts w:ascii="標楷體" w:eastAsia="標楷體" w:hAnsi="標楷體" w:cs="Arial" w:hint="eastAsia"/>
          <w:sz w:val="28"/>
        </w:rPr>
        <w:t>訊</w:t>
      </w:r>
      <w:r w:rsidR="00E51B68" w:rsidRPr="00512C5F">
        <w:rPr>
          <w:rFonts w:ascii="標楷體" w:eastAsia="標楷體" w:hAnsi="標楷體" w:cs="Arial"/>
          <w:sz w:val="28"/>
        </w:rPr>
        <w:t>安</w:t>
      </w:r>
      <w:r w:rsidR="007F22C2" w:rsidRPr="00512C5F">
        <w:rPr>
          <w:rFonts w:ascii="標楷體" w:eastAsia="標楷體" w:hAnsi="標楷體" w:cs="Arial" w:hint="eastAsia"/>
          <w:sz w:val="28"/>
        </w:rPr>
        <w:t>全</w:t>
      </w:r>
      <w:r w:rsidR="00E51B68" w:rsidRPr="00512C5F">
        <w:rPr>
          <w:rFonts w:ascii="標楷體" w:eastAsia="標楷體" w:hAnsi="標楷體" w:cs="Arial"/>
          <w:sz w:val="28"/>
        </w:rPr>
        <w:t>事件</w:t>
      </w:r>
      <w:r w:rsidR="007F22C2" w:rsidRPr="00512C5F">
        <w:rPr>
          <w:rFonts w:ascii="標楷體" w:eastAsia="標楷體" w:hAnsi="標楷體" w:cs="Arial" w:hint="eastAsia"/>
          <w:sz w:val="28"/>
        </w:rPr>
        <w:t>管理</w:t>
      </w:r>
      <w:r w:rsidR="00E51B68" w:rsidRPr="00512C5F">
        <w:rPr>
          <w:rFonts w:ascii="標楷體" w:eastAsia="標楷體" w:hAnsi="標楷體" w:cs="Arial"/>
          <w:sz w:val="28"/>
        </w:rPr>
        <w:t>程序，明訂相關流程與措施，</w:t>
      </w:r>
      <w:proofErr w:type="gramStart"/>
      <w:r w:rsidR="00E51B68" w:rsidRPr="00512C5F">
        <w:rPr>
          <w:rFonts w:ascii="標楷體" w:eastAsia="標楷體" w:hAnsi="標楷體" w:cs="Arial"/>
          <w:sz w:val="28"/>
        </w:rPr>
        <w:t>包含資安事件</w:t>
      </w:r>
      <w:proofErr w:type="gramEnd"/>
      <w:r w:rsidR="00E51B68" w:rsidRPr="00512C5F">
        <w:rPr>
          <w:rFonts w:ascii="標楷體" w:eastAsia="標楷體" w:hAnsi="標楷體" w:cs="Arial"/>
          <w:sz w:val="28"/>
        </w:rPr>
        <w:t>通報程序、指派負責人員處理重大資通安全事件、評估遭受損失及進一步的必要因應措施、</w:t>
      </w:r>
      <w:proofErr w:type="gramStart"/>
      <w:r w:rsidR="00E51B68" w:rsidRPr="00512C5F">
        <w:rPr>
          <w:rFonts w:ascii="標楷體" w:eastAsia="標楷體" w:hAnsi="標楷體" w:cs="Arial"/>
          <w:sz w:val="28"/>
        </w:rPr>
        <w:t>評估資安風險</w:t>
      </w:r>
      <w:proofErr w:type="gramEnd"/>
      <w:r w:rsidR="00E51B68" w:rsidRPr="00512C5F">
        <w:rPr>
          <w:rFonts w:ascii="標楷體" w:eastAsia="標楷體" w:hAnsi="標楷體" w:cs="Arial"/>
          <w:sz w:val="28"/>
        </w:rPr>
        <w:t>可能對公司財務與營運的影響及其因應措施。</w:t>
      </w:r>
    </w:p>
    <w:p w14:paraId="54E93BE9" w14:textId="1C4E5F46" w:rsidR="00E51B68" w:rsidRPr="00324085" w:rsidRDefault="00EC38EA">
      <w:pPr>
        <w:rPr>
          <w:rFonts w:ascii="標楷體" w:eastAsia="標楷體" w:hAnsi="標楷體"/>
          <w:sz w:val="28"/>
          <w:szCs w:val="24"/>
        </w:rPr>
      </w:pPr>
      <w:r w:rsidRPr="00512C5F">
        <w:rPr>
          <w:rFonts w:ascii="標楷體" w:eastAsia="標楷體" w:hAnsi="標楷體"/>
          <w:noProof/>
          <w:sz w:val="28"/>
          <w:szCs w:val="24"/>
        </w:rPr>
        <w:lastRenderedPageBreak/>
        <w:drawing>
          <wp:inline distT="0" distB="0" distL="0" distR="0" wp14:anchorId="05A9B050" wp14:editId="3875DADF">
            <wp:extent cx="5195888" cy="2745105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487"/>
                    <a:stretch/>
                  </pic:blipFill>
                  <pic:spPr bwMode="auto">
                    <a:xfrm>
                      <a:off x="0" y="0"/>
                      <a:ext cx="5195888" cy="274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1B68" w:rsidRPr="0032408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27EF" w14:textId="77777777" w:rsidR="000465F0" w:rsidRDefault="000465F0" w:rsidP="00A80174">
      <w:r>
        <w:separator/>
      </w:r>
    </w:p>
  </w:endnote>
  <w:endnote w:type="continuationSeparator" w:id="0">
    <w:p w14:paraId="02071B5D" w14:textId="77777777" w:rsidR="000465F0" w:rsidRDefault="000465F0" w:rsidP="00A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E385" w14:textId="3098658C" w:rsidR="00000FE3" w:rsidRDefault="00000FE3" w:rsidP="00000FE3">
    <w:pPr>
      <w:pStyle w:val="ad"/>
      <w:jc w:val="right"/>
    </w:pPr>
    <w:r>
      <w:rPr>
        <w:szCs w:val="28"/>
      </w:rPr>
      <w:t>IS-001-0</w:t>
    </w:r>
    <w:r>
      <w:rPr>
        <w:rFonts w:hint="eastAsia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745A" w14:textId="77777777" w:rsidR="000465F0" w:rsidRDefault="000465F0" w:rsidP="00A80174">
      <w:r>
        <w:separator/>
      </w:r>
    </w:p>
  </w:footnote>
  <w:footnote w:type="continuationSeparator" w:id="0">
    <w:p w14:paraId="03DA9AB9" w14:textId="77777777" w:rsidR="000465F0" w:rsidRDefault="000465F0" w:rsidP="00A8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E8A3" w14:textId="6CDCC94E" w:rsidR="00A80174" w:rsidRDefault="00A80174" w:rsidP="00A8017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2A07"/>
    <w:multiLevelType w:val="multilevel"/>
    <w:tmpl w:val="29365C10"/>
    <w:lvl w:ilvl="0">
      <w:start w:val="1"/>
      <w:numFmt w:val="decimal"/>
      <w:suff w:val="space"/>
      <w:lvlText w:val="%1."/>
      <w:lvlJc w:val="left"/>
      <w:pPr>
        <w:ind w:left="1021" w:hanging="1021"/>
      </w:pPr>
      <w:rPr>
        <w:rFonts w:ascii="Times New Roman" w:eastAsia="標楷體" w:hAnsi="Times New Roman" w:cs="Times New Roman"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879" w:hanging="766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2">
      <w:start w:val="1"/>
      <w:numFmt w:val="bullet"/>
      <w:lvlText w:val=""/>
      <w:lvlJc w:val="left"/>
      <w:pPr>
        <w:ind w:left="1500" w:hanging="1020"/>
      </w:pPr>
      <w:rPr>
        <w:rFonts w:ascii="Wingdings" w:hAnsi="Wingdings" w:hint="default"/>
        <w:b w:val="0"/>
        <w:i w:val="0"/>
        <w:strike w:val="0"/>
        <w:dstrike w:val="0"/>
        <w:sz w:val="28"/>
        <w:u w:val="none"/>
        <w:effect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2098" w:hanging="1333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4">
      <w:start w:val="1"/>
      <w:numFmt w:val="decimal"/>
      <w:suff w:val="space"/>
      <w:lvlText w:val="%1.%2.%3.%4.%5."/>
      <w:lvlJc w:val="left"/>
      <w:pPr>
        <w:ind w:left="2552" w:hanging="1475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lang w:val="en-US"/>
      </w:rPr>
    </w:lvl>
    <w:lvl w:ilvl="5">
      <w:start w:val="1"/>
      <w:numFmt w:val="decimal"/>
      <w:suff w:val="space"/>
      <w:lvlText w:val="%1.%2.%3.%4.%5.%6."/>
      <w:lvlJc w:val="left"/>
      <w:pPr>
        <w:ind w:left="3119" w:hanging="1758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</w:lvl>
  </w:abstractNum>
  <w:abstractNum w:abstractNumId="1" w15:restartNumberingAfterBreak="0">
    <w:nsid w:val="466E2940"/>
    <w:multiLevelType w:val="multilevel"/>
    <w:tmpl w:val="3C40D092"/>
    <w:lvl w:ilvl="0">
      <w:start w:val="1"/>
      <w:numFmt w:val="decimal"/>
      <w:pStyle w:val="a"/>
      <w:suff w:val="space"/>
      <w:lvlText w:val="%1."/>
      <w:lvlJc w:val="left"/>
      <w:pPr>
        <w:ind w:left="1021" w:hanging="1021"/>
      </w:pPr>
      <w:rPr>
        <w:rFonts w:ascii="Times New Roman" w:eastAsia="標楷體" w:hAnsi="Times New Roman" w:cs="Times New Roman" w:hint="default"/>
        <w:b w:val="0"/>
        <w:i w:val="0"/>
      </w:rPr>
    </w:lvl>
    <w:lvl w:ilvl="1">
      <w:start w:val="1"/>
      <w:numFmt w:val="decimal"/>
      <w:pStyle w:val="a0"/>
      <w:suff w:val="space"/>
      <w:lvlText w:val="%1.%2"/>
      <w:lvlJc w:val="left"/>
      <w:pPr>
        <w:ind w:left="879" w:hanging="766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2">
      <w:start w:val="1"/>
      <w:numFmt w:val="decimal"/>
      <w:pStyle w:val="a1"/>
      <w:suff w:val="space"/>
      <w:lvlText w:val="%1.%2.%3"/>
      <w:lvlJc w:val="left"/>
      <w:pPr>
        <w:ind w:left="1500" w:hanging="1020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sz w:val="28"/>
        <w:u w:val="none"/>
        <w:effect w:val="none"/>
        <w:vertAlign w:val="baseline"/>
      </w:rPr>
    </w:lvl>
    <w:lvl w:ilvl="3">
      <w:start w:val="1"/>
      <w:numFmt w:val="decimal"/>
      <w:pStyle w:val="a2"/>
      <w:suff w:val="space"/>
      <w:lvlText w:val="%1.%2.%3.%4."/>
      <w:lvlJc w:val="left"/>
      <w:pPr>
        <w:ind w:left="2098" w:hanging="1333"/>
      </w:pPr>
      <w:rPr>
        <w:rFonts w:ascii="Times New Roman" w:eastAsia="標楷體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4">
      <w:start w:val="1"/>
      <w:numFmt w:val="decimal"/>
      <w:suff w:val="space"/>
      <w:lvlText w:val="%1.%2.%3.%4.%5."/>
      <w:lvlJc w:val="left"/>
      <w:pPr>
        <w:ind w:left="2552" w:hanging="1475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lang w:val="en-US"/>
      </w:rPr>
    </w:lvl>
    <w:lvl w:ilvl="5">
      <w:start w:val="1"/>
      <w:numFmt w:val="decimal"/>
      <w:pStyle w:val="a3"/>
      <w:suff w:val="space"/>
      <w:lvlText w:val="%1.%2.%3.%4.%5.%6."/>
      <w:lvlJc w:val="left"/>
      <w:pPr>
        <w:ind w:left="3119" w:hanging="1758"/>
      </w:pPr>
      <w:rPr>
        <w:rFonts w:ascii="Times New Roman" w:eastAsia="標楷體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770"/>
        </w:tabs>
        <w:ind w:left="1770" w:hanging="330"/>
      </w:pPr>
    </w:lvl>
    <w:lvl w:ilvl="7">
      <w:start w:val="1"/>
      <w:numFmt w:val="decimal"/>
      <w:lvlText w:val="%1.%2.%3.%4.%5.%6.%7.%8."/>
      <w:lvlJc w:val="left"/>
      <w:pPr>
        <w:tabs>
          <w:tab w:val="num" w:pos="2010"/>
        </w:tabs>
        <w:ind w:left="2010" w:hanging="33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330"/>
      </w:pPr>
    </w:lvl>
  </w:abstractNum>
  <w:abstractNum w:abstractNumId="2" w15:restartNumberingAfterBreak="0">
    <w:nsid w:val="4BA3709C"/>
    <w:multiLevelType w:val="multilevel"/>
    <w:tmpl w:val="C33E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2071287">
    <w:abstractNumId w:val="2"/>
  </w:num>
  <w:num w:numId="2" w16cid:durableId="245581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66194">
    <w:abstractNumId w:val="1"/>
  </w:num>
  <w:num w:numId="4" w16cid:durableId="26955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E3"/>
    <w:rsid w:val="00000FE3"/>
    <w:rsid w:val="00011AF2"/>
    <w:rsid w:val="000465F0"/>
    <w:rsid w:val="0021742D"/>
    <w:rsid w:val="00220DE3"/>
    <w:rsid w:val="0029578E"/>
    <w:rsid w:val="00324085"/>
    <w:rsid w:val="00405D32"/>
    <w:rsid w:val="004706EC"/>
    <w:rsid w:val="004921D6"/>
    <w:rsid w:val="004F4A80"/>
    <w:rsid w:val="00512C5F"/>
    <w:rsid w:val="00566148"/>
    <w:rsid w:val="00590850"/>
    <w:rsid w:val="0063515B"/>
    <w:rsid w:val="007015C4"/>
    <w:rsid w:val="00722EFE"/>
    <w:rsid w:val="00754F22"/>
    <w:rsid w:val="007F22C2"/>
    <w:rsid w:val="00832D77"/>
    <w:rsid w:val="00847A34"/>
    <w:rsid w:val="00A80174"/>
    <w:rsid w:val="00AB601A"/>
    <w:rsid w:val="00C501D2"/>
    <w:rsid w:val="00CD02BF"/>
    <w:rsid w:val="00E51B68"/>
    <w:rsid w:val="00E6151C"/>
    <w:rsid w:val="00EC38EA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AE682"/>
  <w15:chartTrackingRefBased/>
  <w15:docId w15:val="{9A54AFC4-D8E5-4C38-BBA3-72A54532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</w:pPr>
  </w:style>
  <w:style w:type="paragraph" w:styleId="2">
    <w:name w:val="heading 2"/>
    <w:basedOn w:val="a4"/>
    <w:link w:val="20"/>
    <w:uiPriority w:val="9"/>
    <w:qFormat/>
    <w:rsid w:val="00011AF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754F2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20">
    <w:name w:val="標題 2 字元"/>
    <w:basedOn w:val="a5"/>
    <w:link w:val="2"/>
    <w:uiPriority w:val="9"/>
    <w:rsid w:val="00011AF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Strong"/>
    <w:basedOn w:val="a5"/>
    <w:uiPriority w:val="22"/>
    <w:qFormat/>
    <w:rsid w:val="00011AF2"/>
    <w:rPr>
      <w:b/>
      <w:bCs/>
    </w:rPr>
  </w:style>
  <w:style w:type="paragraph" w:styleId="Web">
    <w:name w:val="Normal (Web)"/>
    <w:basedOn w:val="a4"/>
    <w:uiPriority w:val="99"/>
    <w:unhideWhenUsed/>
    <w:rsid w:val="00011A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5"/>
    <w:uiPriority w:val="99"/>
    <w:semiHidden/>
    <w:unhideWhenUsed/>
    <w:rsid w:val="00011AF2"/>
    <w:rPr>
      <w:color w:val="0000FF"/>
      <w:u w:val="single"/>
    </w:rPr>
  </w:style>
  <w:style w:type="paragraph" w:customStyle="1" w:styleId="a00">
    <w:name w:val="a0"/>
    <w:basedOn w:val="a4"/>
    <w:rsid w:val="004F4A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-align-center">
    <w:name w:val="text-align-center"/>
    <w:basedOn w:val="a4"/>
    <w:rsid w:val="006351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a">
    <w:name w:val="a"/>
    <w:basedOn w:val="a4"/>
    <w:rsid w:val="006351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5"/>
    <w:link w:val="3"/>
    <w:uiPriority w:val="9"/>
    <w:semiHidden/>
    <w:rsid w:val="00754F22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">
    <w:name w:val="第一層"/>
    <w:basedOn w:val="a4"/>
    <w:rsid w:val="00754F22"/>
    <w:pPr>
      <w:numPr>
        <w:numId w:val="2"/>
      </w:numPr>
      <w:adjustRightInd w:val="0"/>
      <w:snapToGrid w:val="0"/>
      <w:spacing w:before="120" w:after="120"/>
      <w:ind w:right="-91"/>
      <w:jc w:val="both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0">
    <w:name w:val="第二層"/>
    <w:basedOn w:val="a4"/>
    <w:rsid w:val="00754F22"/>
    <w:pPr>
      <w:numPr>
        <w:ilvl w:val="1"/>
        <w:numId w:val="2"/>
      </w:numPr>
      <w:tabs>
        <w:tab w:val="left" w:pos="992"/>
      </w:tabs>
      <w:adjustRightInd w:val="0"/>
      <w:snapToGrid w:val="0"/>
      <w:spacing w:after="120"/>
      <w:jc w:val="both"/>
      <w:outlineLvl w:val="1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1">
    <w:name w:val="第三層"/>
    <w:basedOn w:val="a4"/>
    <w:rsid w:val="00754F22"/>
    <w:pPr>
      <w:numPr>
        <w:ilvl w:val="2"/>
        <w:numId w:val="2"/>
      </w:numPr>
      <w:tabs>
        <w:tab w:val="left" w:pos="1843"/>
      </w:tabs>
      <w:adjustRightInd w:val="0"/>
      <w:snapToGrid w:val="0"/>
      <w:jc w:val="both"/>
      <w:outlineLvl w:val="2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2">
    <w:name w:val="第四層"/>
    <w:basedOn w:val="a4"/>
    <w:rsid w:val="00754F22"/>
    <w:pPr>
      <w:numPr>
        <w:ilvl w:val="3"/>
        <w:numId w:val="2"/>
      </w:numPr>
      <w:tabs>
        <w:tab w:val="left" w:pos="2520"/>
      </w:tabs>
      <w:adjustRightInd w:val="0"/>
      <w:snapToGrid w:val="0"/>
      <w:outlineLvl w:val="3"/>
    </w:pPr>
    <w:rPr>
      <w:rFonts w:ascii="標楷體" w:eastAsia="標楷體" w:hAnsi="Times New Roman" w:cs="Times New Roman"/>
      <w:sz w:val="28"/>
      <w:szCs w:val="20"/>
    </w:rPr>
  </w:style>
  <w:style w:type="paragraph" w:customStyle="1" w:styleId="a3">
    <w:name w:val="第六層"/>
    <w:basedOn w:val="a4"/>
    <w:autoRedefine/>
    <w:rsid w:val="00754F22"/>
    <w:pPr>
      <w:numPr>
        <w:ilvl w:val="5"/>
        <w:numId w:val="2"/>
      </w:numPr>
      <w:outlineLvl w:val="5"/>
    </w:pPr>
    <w:rPr>
      <w:rFonts w:ascii="Times New Roman" w:eastAsia="標楷體" w:hAnsi="Times New Roman" w:cs="Times New Roman"/>
      <w:szCs w:val="20"/>
    </w:rPr>
  </w:style>
  <w:style w:type="paragraph" w:styleId="ab">
    <w:name w:val="header"/>
    <w:basedOn w:val="a4"/>
    <w:link w:val="ac"/>
    <w:uiPriority w:val="99"/>
    <w:unhideWhenUsed/>
    <w:rsid w:val="00A80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5"/>
    <w:link w:val="ab"/>
    <w:uiPriority w:val="99"/>
    <w:rsid w:val="00A80174"/>
    <w:rPr>
      <w:sz w:val="20"/>
      <w:szCs w:val="20"/>
    </w:rPr>
  </w:style>
  <w:style w:type="paragraph" w:styleId="ad">
    <w:name w:val="footer"/>
    <w:basedOn w:val="a4"/>
    <w:link w:val="ae"/>
    <w:uiPriority w:val="99"/>
    <w:unhideWhenUsed/>
    <w:rsid w:val="00A801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5"/>
    <w:link w:val="ad"/>
    <w:uiPriority w:val="99"/>
    <w:rsid w:val="00A80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Monkeyboy</dc:creator>
  <cp:keywords/>
  <dc:description/>
  <cp:lastModifiedBy>MichaelYang[楊雲竹]</cp:lastModifiedBy>
  <cp:revision>18</cp:revision>
  <cp:lastPrinted>2026-06-22T03:42:00Z</cp:lastPrinted>
  <dcterms:created xsi:type="dcterms:W3CDTF">2023-07-26T10:38:00Z</dcterms:created>
  <dcterms:modified xsi:type="dcterms:W3CDTF">2026-06-22T03:42:00Z</dcterms:modified>
</cp:coreProperties>
</file>